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11C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_GBK" w:hAnsi="黑体" w:eastAsia="方正小标宋_GBK" w:cs="Times New Roman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黑体" w:eastAsia="方正小标宋_GBK" w:cs="Times New Roman"/>
          <w:sz w:val="44"/>
          <w:szCs w:val="44"/>
          <w:highlight w:val="none"/>
          <w:lang w:val="en-US" w:eastAsia="zh-CN"/>
        </w:rPr>
        <w:t>2025年一季度全区经济运行情况分析</w:t>
      </w:r>
    </w:p>
    <w:p w14:paraId="7AB5C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eastAsia="zh-CN"/>
        </w:rPr>
      </w:pPr>
    </w:p>
    <w:p w14:paraId="69346F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</w:pP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eastAsia="zh-CN"/>
        </w:rPr>
        <w:t>一季度</w:t>
      </w:r>
      <w:r>
        <w:rPr>
          <w:rStyle w:val="13"/>
          <w:rFonts w:ascii="Times New Roman" w:hAnsi="Times New Roman" w:eastAsia="方正仿宋_GBK"/>
          <w:color w:val="000000"/>
          <w:sz w:val="32"/>
          <w:szCs w:val="32"/>
          <w:highlight w:val="none"/>
        </w:rPr>
        <w:t>，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全区实现地区生产总值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207.54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亿元，按照可比价格计算，同比增长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7.2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%，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增幅分别高于全省、全市1.3个和0.2个百分点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。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其中，第一产业实现增加值9.8亿元，同比增长5.4%；第二产业实现增加值89.77亿元，同比增长6.3%；第三产业实现增加值107.97亿元，同比增长8.2%。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三次产业比重为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4.7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：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43.3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：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52.0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，二、三产业增加值占GDP的比重为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95.3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%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，和去年相比上升0.1个百分点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。</w:t>
      </w:r>
    </w:p>
    <w:p w14:paraId="64C7A9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  <w:lang w:val="en-US" w:eastAsia="zh-CN"/>
        </w:rPr>
        <w:t>（一）农业生产形势稳定。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一季度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，全区</w:t>
      </w:r>
      <w:r>
        <w:rPr>
          <w:rStyle w:val="13"/>
          <w:rFonts w:hint="eastAsia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实现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农林牧渔业</w:t>
      </w:r>
      <w:bookmarkStart w:id="0" w:name="_GoBack"/>
      <w:bookmarkEnd w:id="0"/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总产值19.23亿元，</w:t>
      </w:r>
      <w:r>
        <w:rPr>
          <w:rStyle w:val="13"/>
          <w:rFonts w:hint="eastAsia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同比增长5.4%，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实现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农林牧渔业</w:t>
      </w:r>
      <w:r>
        <w:rPr>
          <w:rStyle w:val="13"/>
          <w:rFonts w:hint="eastAsia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增加值10.49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亿元</w:t>
      </w:r>
      <w:r>
        <w:rPr>
          <w:rStyle w:val="13"/>
          <w:rFonts w:hint="eastAsia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，同比增长5.4%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一季度实现蔬菜播种面积3.94万亩，同比增长1.6%，实现蔬菜产量13.54万吨，同比增长3.4%；实现瓜果播种面积0.12万亩，同比增长0.3%，实现瓜果产量0.27万吨，同比增长6.2%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一季度</w:t>
      </w:r>
      <w:r>
        <w:rPr>
          <w:rStyle w:val="13"/>
          <w:rFonts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累计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生猪存栏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25.02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万头，同比下降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1.61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%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生猪出栏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11.4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万头，同比减少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2.28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万头，同比下降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16.7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%。</w:t>
      </w:r>
    </w:p>
    <w:p w14:paraId="05E982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  <w:lang w:val="en-US" w:eastAsia="zh-CN"/>
        </w:rPr>
        <w:t>（二）生产领域保持稳定。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一季度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，全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区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规模以上工业增加值同比增长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14.3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%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eastAsia="zh-CN"/>
        </w:rPr>
        <w:t>，比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2月份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eastAsia="zh-CN"/>
        </w:rPr>
        <w:t>加快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eastAsia="zh-CN"/>
        </w:rPr>
        <w:t>.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eastAsia="zh-CN"/>
        </w:rPr>
        <w:t>个百分点。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我区规上工业共涉及30个行业大类，有22个行业大类正增长，增长面达73.3%，</w:t>
      </w:r>
      <w:r>
        <w:rPr>
          <w:rFonts w:hint="eastAsia" w:ascii="Times New Roman" w:hAnsi="Times New Roman"/>
          <w:sz w:val="32"/>
          <w:szCs w:val="32"/>
          <w:highlight w:val="none"/>
          <w:lang w:val="en-US" w:eastAsia="zh-CN"/>
        </w:rPr>
        <w:t>其中食品制造业、非金属矿物制品业、计算机通信和其他电子设备制造业和废弃资源综合利用业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作为我区支柱行业，产值增幅分别达到10.3%、10.5%、32.5%和468.9%，拉升全区产值增幅7.6个百分点。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实现工业开票销售收入107.93亿元，同比增长7.8%；实现工业用电量4.59亿千瓦时，同比增长5%</w:t>
      </w:r>
      <w:r>
        <w:rPr>
          <w:rStyle w:val="13"/>
          <w:rFonts w:hint="eastAsia" w:ascii="方正仿宋_GBK" w:hAnsi="方正仿宋_GBK" w:cs="方正仿宋_GBK"/>
          <w:color w:val="000000"/>
          <w:sz w:val="32"/>
          <w:szCs w:val="32"/>
          <w:highlight w:val="none"/>
          <w:lang w:val="en-US" w:eastAsia="zh-CN"/>
        </w:rPr>
        <w:t>。</w:t>
      </w:r>
    </w:p>
    <w:p w14:paraId="6E18F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楷体_GBK" w:cs="Times New Roman"/>
          <w:b/>
          <w:bCs/>
          <w:kern w:val="2"/>
          <w:sz w:val="32"/>
          <w:szCs w:val="32"/>
          <w:highlight w:val="none"/>
          <w:lang w:val="en-US" w:eastAsia="zh-CN" w:bidi="ar-SA"/>
        </w:rPr>
        <w:t>（三）</w:t>
      </w:r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  <w:lang w:val="en-US" w:eastAsia="zh-CN"/>
        </w:rPr>
        <w:t>投资增速逐步企稳。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一季度，全区实现固定资产投资77.97亿元，同比增长9.5%，排名第2。其中实现工业投资59.99亿元，同比增长13.5%，快于规上投资增长4.0个百分点，占全部投资比重为76.9%；库比森轮胎</w:t>
      </w:r>
      <w:r>
        <w:rPr>
          <w:rStyle w:val="13"/>
          <w:rFonts w:hint="eastAsia" w:ascii="方正仿宋_GBK" w:hAnsi="方正仿宋_GBK" w:cs="方正仿宋_GBK"/>
          <w:color w:val="000000"/>
          <w:sz w:val="32"/>
          <w:szCs w:val="32"/>
          <w:highlight w:val="none"/>
          <w:lang w:val="en-US" w:eastAsia="zh-CN"/>
        </w:rPr>
        <w:t>、国信苏盐压缩空气储能、中希微电一体成型电感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等重大产业项目有力推进</w:t>
      </w:r>
      <w:r>
        <w:rPr>
          <w:rStyle w:val="13"/>
          <w:rFonts w:hint="eastAsia" w:ascii="方正仿宋_GBK" w:hAnsi="方正仿宋_GBK" w:cs="方正仿宋_GBK"/>
          <w:color w:val="000000"/>
          <w:sz w:val="32"/>
          <w:szCs w:val="32"/>
          <w:highlight w:val="none"/>
          <w:lang w:val="en-US" w:eastAsia="zh-CN"/>
        </w:rPr>
        <w:t>，全区亿元以上在库项目完成投资同比增长26.5%，拉动全区固定资产投资增长21.6个百分点。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从资金来源看，民间投资增长</w:t>
      </w:r>
      <w:r>
        <w:rPr>
          <w:rStyle w:val="13"/>
          <w:rFonts w:hint="eastAsia" w:ascii="方正仿宋_GBK" w:hAnsi="方正仿宋_GBK" w:cs="方正仿宋_GBK"/>
          <w:color w:val="000000"/>
          <w:sz w:val="32"/>
          <w:szCs w:val="32"/>
          <w:highlight w:val="none"/>
          <w:lang w:val="en-US" w:eastAsia="zh-CN"/>
        </w:rPr>
        <w:t>11.0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%，占全部投资比重为</w:t>
      </w:r>
      <w:r>
        <w:rPr>
          <w:rStyle w:val="13"/>
          <w:rFonts w:hint="eastAsia" w:ascii="方正仿宋_GBK" w:hAnsi="方正仿宋_GBK" w:cs="方正仿宋_GBK"/>
          <w:color w:val="000000"/>
          <w:sz w:val="32"/>
          <w:szCs w:val="32"/>
          <w:highlight w:val="none"/>
          <w:lang w:val="en-US" w:eastAsia="zh-CN"/>
        </w:rPr>
        <w:t>78.8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%。</w:t>
      </w:r>
    </w:p>
    <w:p w14:paraId="2CDF4D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cs="方正仿宋_GBK"/>
          <w:color w:val="00000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  <w:lang w:val="en-US" w:eastAsia="zh-CN"/>
        </w:rPr>
        <w:t>（四）消费潜力持续释放。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一季度，全区实现社会消费品零售总额81.63亿元，同比增长6.1%。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分行业看，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批零住餐四个行业分别实现贸易额154、69.21、2.07和17.36亿元，分别同比增长16.2%、7.9%、17.9%和9%</w:t>
      </w:r>
      <w:r>
        <w:rPr>
          <w:rStyle w:val="13"/>
          <w:rFonts w:hint="eastAsia" w:ascii="方正仿宋_GBK" w:hAnsi="方正仿宋_GBK" w:cs="方正仿宋_GBK"/>
          <w:color w:val="000000"/>
          <w:sz w:val="32"/>
          <w:szCs w:val="32"/>
          <w:highlight w:val="none"/>
          <w:lang w:val="en-US" w:eastAsia="zh-CN"/>
        </w:rPr>
        <w:t>。分商品类别看，以旧换新政策成果明显，家用视听设备零售、日用家电零售、计算机软件及辅助设备零售、家具零售、通讯设备批发等行业分别同比增长184.9%、110.6%、65.1%、64.3%、24.2%。数字消费发展迅猛，通过公共网络实现的零售额同比增长63.5%，高于行业平均增幅45.4个百分点，拉动限上社零增幅10.7个百分点。</w:t>
      </w:r>
    </w:p>
    <w:p w14:paraId="71BB23EC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leftChars="0" w:firstLine="640" w:firstLineChars="200"/>
        <w:textAlignment w:val="auto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  <w:lang w:val="en-US" w:eastAsia="zh-CN"/>
        </w:rPr>
        <w:t>（五）</w:t>
      </w:r>
      <w:r>
        <w:rPr>
          <w:rFonts w:hint="eastAsia" w:ascii="Times New Roman" w:hAnsi="Times New Roman" w:eastAsia="方正楷体_GBK" w:cs="Times New Roman"/>
          <w:b/>
          <w:bCs/>
          <w:kern w:val="2"/>
          <w:sz w:val="32"/>
          <w:szCs w:val="32"/>
          <w:highlight w:val="none"/>
          <w:lang w:val="en-US" w:eastAsia="zh-CN" w:bidi="ar-SA"/>
        </w:rPr>
        <w:t>服务业增速全市领先。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一季度全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区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服务业增加值同比增长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8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.2%，快于地区生产总值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1.0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个百分点，增速位居全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市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第1。1-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2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月份，</w:t>
      </w:r>
      <w:r>
        <w:rPr>
          <w:rStyle w:val="13"/>
          <w:rFonts w:hint="default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全区规模以上服务业核算行业累计营收26.1亿元，同比增长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49.4</w:t>
      </w:r>
      <w:r>
        <w:rPr>
          <w:rStyle w:val="13"/>
          <w:rFonts w:hint="default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%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，排名第1</w:t>
      </w:r>
      <w:r>
        <w:rPr>
          <w:rStyle w:val="13"/>
          <w:rFonts w:hint="default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。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十个核算行业增幅分别为396.5%、79.9%、-31.6%、24.5%、171.3%、49%、0.7%、13%、36.8%和24.9%</w:t>
      </w:r>
      <w:r>
        <w:rPr>
          <w:rStyle w:val="13"/>
          <w:rFonts w:hint="eastAsia" w:ascii="方正仿宋_GBK" w:hAnsi="方正仿宋_GBK" w:cs="方正仿宋_GBK"/>
          <w:color w:val="000000"/>
          <w:sz w:val="32"/>
          <w:szCs w:val="32"/>
          <w:highlight w:val="none"/>
          <w:lang w:val="en-US" w:eastAsia="zh-CN"/>
        </w:rPr>
        <w:t>。</w:t>
      </w:r>
    </w:p>
    <w:p w14:paraId="111FBC3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  <w:lang w:val="en-US" w:eastAsia="zh-CN"/>
        </w:rPr>
        <w:t>六）</w:t>
      </w:r>
      <w:r>
        <w:rPr>
          <w:rFonts w:hint="eastAsia" w:ascii="Times New Roman" w:hAnsi="Times New Roman" w:eastAsia="方正楷体_GBK" w:cs="Times New Roman"/>
          <w:b/>
          <w:bCs/>
          <w:kern w:val="2"/>
          <w:sz w:val="32"/>
          <w:szCs w:val="32"/>
          <w:highlight w:val="none"/>
          <w:lang w:val="en-US" w:eastAsia="zh-CN" w:bidi="ar-SA"/>
        </w:rPr>
        <w:t>居民收入平稳增长。</w:t>
      </w:r>
      <w:r>
        <w:rPr>
          <w:rStyle w:val="13"/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一季度，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全区实现居民人均可支配收入13233元，同比增长5.9%。其中，城镇居民人均可支配收入14691元，同比增长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5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%；农村居民人均可支配收入11656元，同比增长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6.6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%。城乡居民收入差距进一步缩小，农村居民收入增速快于城镇居民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1.6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个百分点，城乡居民人均收入比值1.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26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:1，比上年同期缩小0.0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2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。</w:t>
      </w:r>
    </w:p>
    <w:p w14:paraId="5CD99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0"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</w:pPr>
    </w:p>
    <w:sectPr>
      <w:pgSz w:w="11906" w:h="16838"/>
      <w:pgMar w:top="2098" w:right="1474" w:bottom="1984" w:left="1588" w:header="851" w:footer="992" w:gutter="0"/>
      <w:cols w:space="0" w:num="1"/>
      <w:rtlGutter w:val="0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2MmNlMzczMDE4ZjJlYWYwMGE3NzI0YzI5NTAyOGMifQ=="/>
  </w:docVars>
  <w:rsids>
    <w:rsidRoot w:val="7E5A114C"/>
    <w:rsid w:val="002A5791"/>
    <w:rsid w:val="01944F30"/>
    <w:rsid w:val="01CE7351"/>
    <w:rsid w:val="033C405D"/>
    <w:rsid w:val="07312F40"/>
    <w:rsid w:val="0C010C19"/>
    <w:rsid w:val="0FC1070A"/>
    <w:rsid w:val="102B740D"/>
    <w:rsid w:val="143617E2"/>
    <w:rsid w:val="22714A24"/>
    <w:rsid w:val="22FE16B5"/>
    <w:rsid w:val="2AE9408B"/>
    <w:rsid w:val="2BE6575E"/>
    <w:rsid w:val="2E4162EF"/>
    <w:rsid w:val="2F7E54C4"/>
    <w:rsid w:val="32B77AC3"/>
    <w:rsid w:val="337149DF"/>
    <w:rsid w:val="3813028F"/>
    <w:rsid w:val="3BE806B0"/>
    <w:rsid w:val="3C0A45D1"/>
    <w:rsid w:val="3D5F5A18"/>
    <w:rsid w:val="40E32281"/>
    <w:rsid w:val="4A823C27"/>
    <w:rsid w:val="4C317754"/>
    <w:rsid w:val="4CD2410B"/>
    <w:rsid w:val="50FE4613"/>
    <w:rsid w:val="541A6706"/>
    <w:rsid w:val="57AD78E7"/>
    <w:rsid w:val="5E472732"/>
    <w:rsid w:val="5F770C2E"/>
    <w:rsid w:val="63EE4A5B"/>
    <w:rsid w:val="6A45548F"/>
    <w:rsid w:val="6DBB590E"/>
    <w:rsid w:val="72D761FB"/>
    <w:rsid w:val="75F8738A"/>
    <w:rsid w:val="7E5A1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jc w:val="both"/>
    </w:pPr>
    <w:rPr>
      <w:rFonts w:ascii="Calibri" w:hAnsi="Calibri" w:eastAsia="方正仿宋_GBK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line="560" w:lineRule="exact"/>
      <w:outlineLvl w:val="0"/>
    </w:pPr>
    <w:rPr>
      <w:rFonts w:eastAsia="方正小标宋_GBK"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黑体"/>
      <w:sz w:val="32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方正楷体_GBK"/>
      <w:b/>
      <w:sz w:val="32"/>
    </w:rPr>
  </w:style>
  <w:style w:type="paragraph" w:styleId="5">
    <w:name w:val="heading 4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atLeast"/>
      <w:outlineLvl w:val="3"/>
    </w:pPr>
    <w:rPr>
      <w:rFonts w:ascii="Arial" w:hAnsi="Arial" w:eastAsia="方正仿宋_GBK"/>
      <w:b/>
      <w:sz w:val="32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Indent"/>
    <w:basedOn w:val="1"/>
    <w:autoRedefine/>
    <w:unhideWhenUsed/>
    <w:qFormat/>
    <w:uiPriority w:val="0"/>
    <w:pPr>
      <w:ind w:firstLine="630" w:firstLineChars="200"/>
      <w:jc w:val="left"/>
    </w:pPr>
    <w:rPr>
      <w:rFonts w:ascii="Times New Roman" w:hAnsi="Times New Roman"/>
      <w:kern w:val="2"/>
      <w:sz w:val="30"/>
    </w:rPr>
  </w:style>
  <w:style w:type="paragraph" w:styleId="7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8">
    <w:name w:val="Title"/>
    <w:basedOn w:val="1"/>
    <w:next w:val="9"/>
    <w:autoRedefine/>
    <w:qFormat/>
    <w:uiPriority w:val="0"/>
    <w:pPr>
      <w:spacing w:line="580" w:lineRule="exact"/>
      <w:ind w:left="640" w:leftChars="200"/>
      <w:outlineLvl w:val="0"/>
    </w:pPr>
    <w:rPr>
      <w:rFonts w:ascii="Arial" w:hAnsi="Arial" w:eastAsia="方正仿宋_GBK"/>
    </w:rPr>
  </w:style>
  <w:style w:type="paragraph" w:customStyle="1" w:styleId="9">
    <w:name w:val="正文文本缩进1"/>
    <w:basedOn w:val="1"/>
    <w:autoRedefine/>
    <w:qFormat/>
    <w:uiPriority w:val="99"/>
    <w:pPr>
      <w:ind w:left="420" w:leftChars="200"/>
    </w:pPr>
  </w:style>
  <w:style w:type="paragraph" w:styleId="10">
    <w:name w:val="Body Text First Indent 2"/>
    <w:basedOn w:val="6"/>
    <w:autoRedefine/>
    <w:unhideWhenUsed/>
    <w:qFormat/>
    <w:uiPriority w:val="99"/>
    <w:pPr>
      <w:spacing w:after="120"/>
      <w:ind w:left="420" w:leftChars="200" w:firstLine="420"/>
      <w:jc w:val="both"/>
    </w:pPr>
    <w:rPr>
      <w:rFonts w:ascii="Calibri" w:hAnsi="Calibri"/>
      <w:kern w:val="0"/>
      <w:sz w:val="20"/>
      <w:lang w:val="en-US" w:eastAsia="zh-CN"/>
    </w:rPr>
  </w:style>
  <w:style w:type="character" w:customStyle="1" w:styleId="13">
    <w:name w:val="bjh-p"/>
    <w:basedOn w:val="12"/>
    <w:autoRedefine/>
    <w:qFormat/>
    <w:uiPriority w:val="0"/>
  </w:style>
  <w:style w:type="paragraph" w:styleId="14">
    <w:name w:val="List Paragraph"/>
    <w:basedOn w:val="1"/>
    <w:autoRedefine/>
    <w:qFormat/>
    <w:uiPriority w:val="34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1179</Words>
  <Characters>1508</Characters>
  <Lines>0</Lines>
  <Paragraphs>0</Paragraphs>
  <TotalTime>0</TotalTime>
  <ScaleCrop>false</ScaleCrop>
  <LinksUpToDate>false</LinksUpToDate>
  <CharactersWithSpaces>1508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2024-01-31T00:59:00Z</dcterms:created>
  <dc:creator>张阳</dc:creator>
  <cp:lastModifiedBy>写给未来</cp:lastModifiedBy>
  <cp:lastPrinted>2025-02-14T01:17:00Z</cp:lastPrinted>
  <dcterms:modified xsi:type="dcterms:W3CDTF">2025-05-08T08:05:56Z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FA4708D17196455283C8E45ECC252333_13</vt:lpwstr>
  </property>
  <property fmtid="{D5CDD505-2E9C-101B-9397-08002B2CF9AE}" pid="4" name="KSOTemplateDocerSaveRecord">
    <vt:lpwstr>eyJoZGlkIjoiZDk4MDgyODIyZDk3M2I0YjNjYTdkYWIyNGE0MzY5ODUiLCJ1c2VySWQiOiIxMTA2NzE5OTMyIn0=</vt:lpwstr>
  </property>
</Properties>
</file>