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方正小标宋_GBK" w:eastAsia="方正小标宋_GBK"/>
          <w:color w:val="auto"/>
          <w:sz w:val="44"/>
          <w:szCs w:val="44"/>
          <w:highlight w:val="none"/>
        </w:rPr>
      </w:pPr>
      <w:r>
        <w:rPr>
          <w:rFonts w:ascii="方正小标宋_GBK" w:eastAsia="方正小标宋_GBK"/>
          <w:color w:val="auto"/>
          <w:sz w:val="44"/>
          <w:szCs w:val="44"/>
          <w:highlight w:val="none"/>
        </w:rPr>
        <w:t>20</w:t>
      </w:r>
      <w:r>
        <w:rPr>
          <w:rFonts w:hint="eastAsia" w:ascii="方正小标宋_GBK" w:eastAsia="方正小标宋_GBK"/>
          <w:color w:val="auto"/>
          <w:sz w:val="44"/>
          <w:szCs w:val="44"/>
          <w:highlight w:val="none"/>
          <w:lang w:val="en-US" w:eastAsia="zh-CN"/>
        </w:rPr>
        <w:t>24</w:t>
      </w:r>
      <w:r>
        <w:rPr>
          <w:rFonts w:hint="eastAsia" w:ascii="方正小标宋_GBK" w:eastAsia="方正小标宋_GBK"/>
          <w:color w:val="auto"/>
          <w:sz w:val="44"/>
          <w:szCs w:val="44"/>
          <w:highlight w:val="none"/>
        </w:rPr>
        <w:t>年淮安市淮安区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方正小标宋_GBK" w:eastAsia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eastAsia="方正小标宋_GBK"/>
          <w:color w:val="auto"/>
          <w:sz w:val="44"/>
          <w:szCs w:val="44"/>
          <w:highlight w:val="none"/>
        </w:rPr>
        <w:t>国民经济和社会发展统计公报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方正仿宋_GBK" w:eastAsia="方正仿宋_GBK"/>
          <w:color w:val="auto"/>
          <w:sz w:val="18"/>
          <w:szCs w:val="1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方正楷体_GBK" w:eastAsia="方正楷体_GBK"/>
          <w:color w:val="auto"/>
          <w:sz w:val="30"/>
          <w:szCs w:val="30"/>
          <w:highlight w:val="none"/>
        </w:rPr>
      </w:pPr>
      <w:r>
        <w:rPr>
          <w:rFonts w:hint="eastAsia" w:ascii="方正楷体_GBK" w:eastAsia="方正楷体_GBK"/>
          <w:color w:val="auto"/>
          <w:sz w:val="30"/>
          <w:szCs w:val="30"/>
          <w:highlight w:val="none"/>
        </w:rPr>
        <w:t>淮安市淮安区统计局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jc w:val="center"/>
        <w:textAlignment w:val="auto"/>
        <w:rPr>
          <w:rFonts w:ascii="方正楷体_GBK" w:eastAsia="方正楷体_GBK"/>
          <w:color w:val="auto"/>
          <w:sz w:val="30"/>
          <w:szCs w:val="30"/>
          <w:highlight w:val="none"/>
        </w:rPr>
      </w:pPr>
      <w:r>
        <w:rPr>
          <w:rFonts w:ascii="方正楷体_GBK" w:eastAsia="方正楷体_GBK"/>
          <w:color w:val="auto"/>
          <w:sz w:val="30"/>
          <w:szCs w:val="30"/>
          <w:highlight w:val="none"/>
        </w:rPr>
        <w:t>20</w:t>
      </w:r>
      <w:r>
        <w:rPr>
          <w:rFonts w:hint="eastAsia" w:ascii="方正楷体_GBK" w:eastAsia="方正楷体_GBK"/>
          <w:color w:val="auto"/>
          <w:sz w:val="30"/>
          <w:szCs w:val="30"/>
          <w:highlight w:val="none"/>
        </w:rPr>
        <w:t>2</w:t>
      </w:r>
      <w:r>
        <w:rPr>
          <w:rFonts w:hint="eastAsia" w:ascii="方正楷体_GBK" w:eastAsia="方正楷体_GBK"/>
          <w:color w:val="auto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方正楷体_GBK" w:eastAsia="方正楷体_GBK"/>
          <w:color w:val="auto"/>
          <w:sz w:val="30"/>
          <w:szCs w:val="30"/>
          <w:highlight w:val="none"/>
        </w:rPr>
        <w:t>年</w:t>
      </w:r>
      <w:r>
        <w:rPr>
          <w:rFonts w:hint="eastAsia" w:ascii="方正楷体_GBK" w:eastAsia="方正楷体_GBK"/>
          <w:color w:val="auto"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方正楷体_GBK" w:eastAsia="方正楷体_GBK"/>
          <w:color w:val="auto"/>
          <w:sz w:val="30"/>
          <w:szCs w:val="30"/>
          <w:highlight w:val="none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ind w:firstLine="640" w:firstLineChars="200"/>
        <w:jc w:val="left"/>
        <w:textAlignment w:val="auto"/>
        <w:rPr>
          <w:rFonts w:hint="eastAsia" w:ascii="方正仿宋_GBK" w:eastAsia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eastAsia="方正仿宋_GBK"/>
          <w:color w:val="auto"/>
          <w:sz w:val="32"/>
          <w:szCs w:val="32"/>
          <w:highlight w:val="none"/>
          <w:lang w:val="en-US" w:eastAsia="zh-CN"/>
        </w:rPr>
        <w:t>2024年，我们坚持以习近平新时代中国特色社会主义思想为指导，深入学习贯彻党的二十大和二十届二中、三中全会精神，对标落实习近平总书记对江苏工作重要讲话精神，锚定“当龙头、作表率”定位，牢记嘱托、感恩奋进，较好完成了年度各项目标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一、综合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经济总量稳步增长。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初步核算，全年实现地区生产总值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856.62亿元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，同比增长</w:t>
      </w:r>
      <w:r>
        <w:rPr>
          <w:rStyle w:val="6"/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7.5%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。其中，第一产业实现增加值90.58亿元，同比增长4.5%；第二产业实现增加值347.09亿元，同比增长8.0%；第三产业实现增加值418.95亿元，同比增长7.9%。三次产业比重为10.6：40.5：48.9，二、三产业增加值占GDP的比重为89.4%，和去年相比上升0.4个百分点。实现人均地区生产总值109676元，按可比价格计算增长8.3%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经济活力有效释放。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年末市场监管部门登记的私营企业2.54万户，年末个体经营户6.88万户。全年实现新增列统企业（不含投资）297家，其中工业新增71家，建筑业新增11家，贸易业新增131家，服务业新增82家，房地产业新增2家。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二、农林牧渔业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粮食生产再获丰收。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全年粮食种植面积199.86万亩，比上年增加0.65万亩。粮食产量再创新高，总产98.66万吨，增产0.27万吨，增长0.3%。其中，夏粮产量38.51万吨，增长1.3%；秋粮产量60.16万吨，下降0.4%。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牧业渔业平稳增长。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年末生猪存栏23.82万头，生猪出栏55.61万头，增长2.3%。家禽存栏210.64万只，出栏537.39万只。水产品总产量5.33万吨，增长4.1%。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现代农业加速发展。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生态农业4个试验单元建设取得阶段性成效，改造农田生态化排灌系统1.85万亩。健全农产品质量追溯机制，新建和提升承诺达标合格证服务站点18个，获绿色农产品认证18个。夯实粮食安全根基，实施运西灌区改造工程，建设高标准农田9.2万亩；创成省级优质粮食工程示范县区、全市唯一，施河镇获省级耕地保护激励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三、工业和建筑业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工业生产稳中提质。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全区实现工业开票销售收入457.50亿元，同比增长7.0%；实现工业用电量19.10亿千瓦时，同比增长3.9%；规模以上工业增加值同比增长9.1%。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高端装备制造、电子信息两大主导产业开票销售增长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超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20%，机械设备精密配件产业集群入选省中小企业特色产业集群。壮大新型储能产业，张兴储气库通过72小时试采气运行，实现盐穴造腔、注气排卤和采气作业全流程贯通。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建筑业发展平稳。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实现有资质建筑业企业总产值510.31亿元，同比增长10.1%；竣工产值399.98亿元，同比增长14.0%；全区有资质建筑企业实现利润总额22.69亿元；建筑业企业房屋建筑施工面积4081.82万平方米，其中新开工面积1264.11万平方米，竣工面积1405.08万平方米，竣工率34.4%；其中住宅竣工面积1126.86万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ascii="黑体" w:hAnsi="黑体" w:eastAsia="黑体"/>
          <w:color w:val="auto"/>
          <w:sz w:val="30"/>
          <w:szCs w:val="30"/>
          <w:highlight w:val="none"/>
        </w:rPr>
        <w:t>四、固定资产投资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固定资产投资保持稳定。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实现规模以上固定资产投资345.71亿元，同比增长18.1%。其中，建筑安装工程投资同比增长19.2%，占固定资产投资比重达85.6%；高技术产业投资占比22.3%。分类型看，项目投资同比增长22.5%，工业投资同比增长34.3%；房地产开发投资同比下降15.9%。全年商品房销售面积88.19万平方米，同比下降3.8%；本年商品房销售额71.11亿元，同比增长8.7%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重大项目稳步推进。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新招引亿元以上项目142个、增长29%，其中工业项目120个；协议引资额896.32亿元，增长69%；新开工亿元以上项目72个，新开工工业项目53个，其中，50亿元以上2个（库比森轮胎、国信苏盐压气储能）、投资规模全市领先，10-50亿元项目9个、数量全市最多，亿元项目42个。新竣工亿元以上项目60个，新竣工工业项目41个，其中，10亿元以上项目3个，亿元项目38个。完成有效投资269.5亿元、同比增长51%，其中，工业项目有效投资223.9亿元、同比增长77%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五、国内贸易和开放型经济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消费品市场加快复苏。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实现社会消费品零售总额280.08亿元，同比增长6.5%。批发业实现销售额436.65亿元，同比增长16.9%；零售业实现销售额270.99亿元，同比增长16.2%；住宿业实现营业额9.47亿元，同比增长14.9%；餐饮业实现营业额66.27亿元，同比增长17.2%。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消费潜能不断激活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河下古镇文商旅深度融合，蓝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·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数字文旅产业园盛大开园，萧湖国际大酒店开门迎客，精致早茶、汉服旅拍、特色文创等多元业态相继入驻，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国潮音乐会、状元府沉浸演艺等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活动反响热烈，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跟着美食游淮安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等主题融媒宣传有声有色，全区接待游客超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1000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万人次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旅游综合收入突破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110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对外贸易稳中提质。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全年全区外贸进出口总额为57.46亿元，同比增长10.5%。全年新设立外商直接投资企业数28家，实际使用外资0.56亿美元，同比下降43.7%。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加快融入长三角一体化发展，淮昆台资合作产业园承接产业转移项目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37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个、总投资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312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亿元，其中台资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val="en-US" w:eastAsia="zh-CN"/>
        </w:rPr>
        <w:t>110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亿元，园区发展获省政府主要领导调研肯定。成功举办淮安区与日本吉备中央町缔结友好城市25周年庆祝活动。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六、交通运输、旅游业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交通运输恢复常态。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完成公路客运量231万人次，客运周转量6600万人公里。完成公路货运量699万吨，同比增长4.3%；货运周转量12.48亿吨公里，同比下降3.2%。完成水路货运量1201万吨，同比下降0.3%；货运周转量31亿吨公里，同比下降2.3%。完成港口吞吐量1378万吨，同比下降4.9%。全区现有公路总里程2316公里，其中等级公路2316公里，高速公路里程81公里，一级公路159公里。拥有公共汽（电）车456辆，客运量231万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旅游潜能不断激活。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河下古镇焕新升级、稳居全市顶流，文旅嘉年华火爆出圈，央视、省台接连打卡，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庆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成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门、新路遗址入选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考古中国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重大项目，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红色旅游融合发展试点经验全国交流，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  <w:lang w:eastAsia="zh-CN"/>
        </w:rPr>
        <w:t>上榜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全国市辖区旅游综合实力百强区。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七、财政、金融业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财政收入稳步增长。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年实现财政总收入62.22亿元，与去年持平。完成一般公共预算收入42.17亿元，同比增长9.3%；其中，税收收入36.20亿元，同比增长20.6%；税收收入占一般公共预算收入比重达85.8%。全年上划中央四税71.69亿元，同比增长203.3%；政府性基金收入40.76亿元，同比下降21.2%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支出结构不断优化。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全区一般公共预算支出111.85亿元，同比增长9.4%。主要支出中，社会保障和就业支出19.50亿元，同比增长7.4%；农林水支出18.95亿元，同比增长96.3%；教育支出17.12亿元，同比下降9.6%；一般公共服务支出9.95亿元，同比增长6.2%；住房保障支出9.59亿元，同比增长15.0%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八、科学技术、教育、文化和卫生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创新能力不断增强。</w:t>
      </w:r>
      <w:r>
        <w:rPr>
          <w:rFonts w:hint="eastAsia" w:ascii="方正仿宋_GBK" w:eastAsia="方正仿宋_GBK"/>
          <w:color w:val="auto"/>
          <w:sz w:val="32"/>
          <w:szCs w:val="32"/>
          <w:highlight w:val="none"/>
          <w:lang w:val="en-US" w:eastAsia="zh-CN"/>
        </w:rPr>
        <w:t>2024年全区专利申请授权量1102件，其中发明专利授权量208件；累计实现有效发明专利数696件。技术合同成交额31.69亿元，国家高新技术企业累计达106家。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入选省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智改数转网联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示范企业33家，其中智能制造示范工厂1家、智能制造示范车间16家、工业互联网平台5家、五星上云企业11家，均创历史新高；认定科技型中小企业132家，获批市级工程技术研究中心7家，飞特尔通信荣获全市唯一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潜在独角兽企业</w:t>
      </w:r>
      <w:r>
        <w:rPr>
          <w:rFonts w:hint="eastAsia" w:ascii="Times New Roman" w:hAnsi="Times New Roman" w:eastAsia="方正仿宋_GBK" w:cs="Times New Roman"/>
          <w:sz w:val="32"/>
          <w:szCs w:val="21"/>
          <w:highlight w:val="none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21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教育事业平稳发展。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末拥有各类学校145所，其中普通中学33所，小学45所，幼儿园64所，中等职业学校2所，特殊教育学校1所。各类学校专任教师11444人，其中幼儿园教师1936人，小学教师3730人，普通中学教师5059人，职业教育学校教师675人，特殊教育教师44人。各类学校在校学生119934人，比上年减少6339人，其中学前教育12868人，减少2701人；小学49138人，减少3867人；初中30617人，增加953人；高中17583人，减少373人。各类学校招收新生29704人，其中学前教育3249人，小学6442人，初中10852人，高中6070人。各类学校毕业生36082人，其中学前教育6236人，小学10372人，初中9996人，高中6281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文化事业稳步推进。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加大古城保护力度，做好河下历史街区保护规划、历史文化名城保护规划修编，制定古城保护实施细则，重点推动老西门大街、农机厂项目开工建设、初见成效，完成施-罗著书处布展开放，谋划启动宋元板闸遗址设计规划；突出微改造、精提升，实施罗柳河两岸、闻思寺周边景观营造，呈现清朗简约的空间布局。打造沉浸式体验，续写文旅嘉年华系列活动，创新非遗项目展示展演形式，引进国潮品牌和创意店铺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卫生服务持续改善。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末共有各类医院22个（区级医院6个、卫生院16个）、妇幼卫生保健机构1个、专科疾病防治院1个、疾病预防控制中心1个；共有病床4620张（含诊所、医务室，不包含社区卫生服务站，下同），共有卫生技术人员4602人，其中执业医师1390人、执业助理医师370人，注册护士2097人、药剂人员284人、检验人员336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596" w:lineRule="exact"/>
        <w:jc w:val="center"/>
        <w:textAlignment w:val="auto"/>
        <w:rPr>
          <w:rFonts w:ascii="黑体" w:hAnsi="黑体" w:eastAsia="黑体"/>
          <w:color w:val="auto"/>
          <w:sz w:val="30"/>
          <w:szCs w:val="30"/>
          <w:highlight w:val="none"/>
        </w:rPr>
      </w:pPr>
      <w:r>
        <w:rPr>
          <w:rFonts w:hint="eastAsia" w:ascii="黑体" w:hAnsi="黑体" w:eastAsia="黑体"/>
          <w:color w:val="auto"/>
          <w:sz w:val="30"/>
          <w:szCs w:val="30"/>
          <w:highlight w:val="none"/>
        </w:rPr>
        <w:t>九、人民生活、社会保障和环境保护</w:t>
      </w:r>
    </w:p>
    <w:p>
      <w:pPr>
        <w:ind w:firstLine="640" w:firstLineChars="200"/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常住人口小幅减少。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年末常住人口77.94万人，比上年减少0.33万人；其中，城镇常住人口44.83万人，常住人口城镇化率57.5%。年末户籍户数32.37万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户，户籍人口109.81万人，其中男性57.35万人、女性52.46万人；城镇户籍人口54.44万人，户籍人口城镇化率49.6%。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居民收入稳步增加。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根据住户收支与生活状况调查，全年全区居民人均可支配收入36234元，较上年增加2064元，增长6.0%。按常住地分，城镇居民人均可支配收入44235元，较上年增加2041元，增长4.8%；农村居民人均可支配收入27588元，较上年增加1853元，增长7.2%。按收入构成看，工资性收入22321元为主要收入，占全部收入的61.6%；经营净收入增长最快，增幅为8.7%。全区居民人均消费支出22404元，同比增长6.1%。其中，教育文化娱乐类增速第一，增长8.4%；食品消费支出比重略有下降，恩格尔系数为28.8%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社保体系不断完善。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开展“贷你创业”助力行动，组织各类招聘活动180场，城镇新增就业超5300人。创新根治欠薪“五快”机制，全省推介。总投资1.2亿元的老年人综合服务中心正式营业，完成450户困难家庭适老化改造，新增普惠托育机构3家、普惠托位214个。城乡居民基本养老保险基础养老金最低标准稳步上调。长期护理保险顺利实施，设立定点服务机构18家。发放各类救助保障资金3.25亿元，救助困难群众11.9万人次。发展公益慈善事业，帮扶9492人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eastAsia="方正楷体_GBK"/>
          <w:color w:val="auto"/>
          <w:sz w:val="32"/>
          <w:szCs w:val="32"/>
          <w:highlight w:val="none"/>
          <w:lang w:val="en-US" w:eastAsia="zh-CN"/>
        </w:rPr>
        <w:t>生态环境持续改善。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开展汛期断面水质达标行动，加大渔滨河、头溪河等重点河流水质管控，里运河住家船实现清零，12个国省考断面优Ⅲ比例达100%；新建污水管网10公里、提标雨污管网45公里，城市生活污水集中收集处理率达75%。完成重点治气项目73个，淘汰国三及以下柴油货车122辆，全区PM2.5年均浓度34.8微克/立方米，优良天数比率84.2%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（1）本公报使用的数据为快报数。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（2）除注明外，所有增长或下降速度均为同上年相比较。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（</w:t>
      </w: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）地区生产总值、规模以上工业增加值及其分类项目增长速度按可比价计算，为实际增长速度；其他指标除特殊说明外，按现价计算，为名义增长速度。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方正仿宋_GBK" w:hAnsi="方正仿宋_GBK" w:eastAsia="方正仿宋_GBK" w:cs="方正仿宋_GBK"/>
          <w:color w:val="auto"/>
          <w:sz w:val="32"/>
          <w:szCs w:val="32"/>
          <w:highlight w:val="none"/>
          <w:lang w:eastAsia="zh-CN"/>
        </w:rPr>
        <w:t>（4）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部分指标数据因统计口径调整，较上年不具可比性。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mNlMzczMDE4ZjJlYWYwMGE3NzI0YzI5NTAyOGMifQ=="/>
  </w:docVars>
  <w:rsids>
    <w:rsidRoot w:val="00000000"/>
    <w:rsid w:val="002724C6"/>
    <w:rsid w:val="009344C6"/>
    <w:rsid w:val="00CA637E"/>
    <w:rsid w:val="01FD0F0F"/>
    <w:rsid w:val="02BF797B"/>
    <w:rsid w:val="02E206A6"/>
    <w:rsid w:val="02E5311B"/>
    <w:rsid w:val="04BD2A31"/>
    <w:rsid w:val="074721FA"/>
    <w:rsid w:val="08D767A2"/>
    <w:rsid w:val="08DD4532"/>
    <w:rsid w:val="09F2400E"/>
    <w:rsid w:val="0AF54D9E"/>
    <w:rsid w:val="10564027"/>
    <w:rsid w:val="11282C98"/>
    <w:rsid w:val="144B4B4B"/>
    <w:rsid w:val="169C6255"/>
    <w:rsid w:val="193E35D4"/>
    <w:rsid w:val="1B8A054A"/>
    <w:rsid w:val="1BF3513F"/>
    <w:rsid w:val="1E4D5BE2"/>
    <w:rsid w:val="216A3B80"/>
    <w:rsid w:val="219C5C6F"/>
    <w:rsid w:val="24227531"/>
    <w:rsid w:val="25BB57AA"/>
    <w:rsid w:val="26964247"/>
    <w:rsid w:val="273E266C"/>
    <w:rsid w:val="27556C03"/>
    <w:rsid w:val="28D02F25"/>
    <w:rsid w:val="29630DA9"/>
    <w:rsid w:val="296F6CA5"/>
    <w:rsid w:val="29B36EBE"/>
    <w:rsid w:val="322D595C"/>
    <w:rsid w:val="32EE78AF"/>
    <w:rsid w:val="33356193"/>
    <w:rsid w:val="350729A5"/>
    <w:rsid w:val="35257EBF"/>
    <w:rsid w:val="3527393A"/>
    <w:rsid w:val="352A4C46"/>
    <w:rsid w:val="3747333B"/>
    <w:rsid w:val="37936BCB"/>
    <w:rsid w:val="3CE81A7C"/>
    <w:rsid w:val="3E392D5A"/>
    <w:rsid w:val="3EA6303D"/>
    <w:rsid w:val="41E7318A"/>
    <w:rsid w:val="41F663E1"/>
    <w:rsid w:val="42537038"/>
    <w:rsid w:val="478C4E3C"/>
    <w:rsid w:val="47BA08C7"/>
    <w:rsid w:val="48715537"/>
    <w:rsid w:val="48C947E7"/>
    <w:rsid w:val="49900B72"/>
    <w:rsid w:val="4A7E7B8C"/>
    <w:rsid w:val="4B7D5536"/>
    <w:rsid w:val="4C1170CB"/>
    <w:rsid w:val="4C561B3E"/>
    <w:rsid w:val="4D8D1C53"/>
    <w:rsid w:val="4ED447FD"/>
    <w:rsid w:val="4FBE7D1A"/>
    <w:rsid w:val="51502047"/>
    <w:rsid w:val="521F1A72"/>
    <w:rsid w:val="524D522F"/>
    <w:rsid w:val="52A86F2C"/>
    <w:rsid w:val="54162BD6"/>
    <w:rsid w:val="54192FB8"/>
    <w:rsid w:val="550E7937"/>
    <w:rsid w:val="550F7DE4"/>
    <w:rsid w:val="55EE7B38"/>
    <w:rsid w:val="56FF24A2"/>
    <w:rsid w:val="5706331C"/>
    <w:rsid w:val="57EE25AF"/>
    <w:rsid w:val="58664F84"/>
    <w:rsid w:val="5A601E9A"/>
    <w:rsid w:val="5BF44F90"/>
    <w:rsid w:val="5C7F2624"/>
    <w:rsid w:val="5F105C3D"/>
    <w:rsid w:val="5F8B04F2"/>
    <w:rsid w:val="625935EA"/>
    <w:rsid w:val="634B0E47"/>
    <w:rsid w:val="63900A77"/>
    <w:rsid w:val="648D1BC4"/>
    <w:rsid w:val="673A2DBF"/>
    <w:rsid w:val="675F318C"/>
    <w:rsid w:val="68282DCF"/>
    <w:rsid w:val="69103BA2"/>
    <w:rsid w:val="69A32D46"/>
    <w:rsid w:val="69C02956"/>
    <w:rsid w:val="6B447698"/>
    <w:rsid w:val="6B4B7308"/>
    <w:rsid w:val="6BDB3A77"/>
    <w:rsid w:val="6D4F6390"/>
    <w:rsid w:val="6E597D3A"/>
    <w:rsid w:val="6F372C75"/>
    <w:rsid w:val="6FD62EEF"/>
    <w:rsid w:val="71CA03B0"/>
    <w:rsid w:val="7353755A"/>
    <w:rsid w:val="759537CC"/>
    <w:rsid w:val="75C51107"/>
    <w:rsid w:val="75E00CD6"/>
    <w:rsid w:val="767B20DE"/>
    <w:rsid w:val="795E1667"/>
    <w:rsid w:val="79FD45AC"/>
    <w:rsid w:val="7A026BAA"/>
    <w:rsid w:val="7A3809B0"/>
    <w:rsid w:val="7A97500D"/>
    <w:rsid w:val="7B246BFA"/>
    <w:rsid w:val="7C143233"/>
    <w:rsid w:val="7C8F003B"/>
    <w:rsid w:val="7E522C41"/>
    <w:rsid w:val="7EB45671"/>
    <w:rsid w:val="7EE1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bjh-p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3965</Words>
  <Characters>4732</Characters>
  <Lines>0</Lines>
  <Paragraphs>0</Paragraphs>
  <TotalTime>0</TotalTime>
  <ScaleCrop>false</ScaleCrop>
  <LinksUpToDate>false</LinksUpToDate>
  <CharactersWithSpaces>4732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2021-03-29T01:23:00Z</dcterms:created>
  <dc:creator>hp</dc:creator>
  <cp:lastModifiedBy>Administrator</cp:lastModifiedBy>
  <cp:lastPrinted>2025-07-02T06:34:00Z</cp:lastPrinted>
  <dcterms:modified xsi:type="dcterms:W3CDTF">2025-07-02T08:46:31Z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KSOSaveFontToCloudKey">
    <vt:lpwstr>423726915_cloud</vt:lpwstr>
  </property>
  <property fmtid="{D5CDD505-2E9C-101B-9397-08002B2CF9AE}" pid="4" name="ICV">
    <vt:lpwstr>9C6979237C3A4439B95816282AEECDD6_13</vt:lpwstr>
  </property>
  <property fmtid="{D5CDD505-2E9C-101B-9397-08002B2CF9AE}" pid="5" name="KSOTemplateDocerSaveRecord">
    <vt:lpwstr>eyJoZGlkIjoiNDU2MmNlMzczMDE4ZjJlYWYwMGE3NzI0YzI5NTAyOGMiLCJ1c2VySWQiOiI0MzcwNzg2MzIifQ==</vt:lpwstr>
  </property>
</Properties>
</file>